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560"/>
        <w:gridCol w:w="1701"/>
        <w:gridCol w:w="283"/>
        <w:gridCol w:w="870"/>
        <w:gridCol w:w="1823"/>
        <w:gridCol w:w="267"/>
        <w:gridCol w:w="3493"/>
        <w:gridCol w:w="883"/>
      </w:tblGrid>
      <w:tr w:rsidR="00437ED9" w:rsidRPr="00437ED9" w:rsidTr="00437ED9">
        <w:trPr>
          <w:trHeight w:val="255"/>
        </w:trPr>
        <w:tc>
          <w:tcPr>
            <w:tcW w:w="1560"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Level</w:t>
            </w:r>
          </w:p>
        </w:tc>
        <w:tc>
          <w:tcPr>
            <w:tcW w:w="1701"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Kabupaten Aceh Tenggara </w:t>
            </w:r>
          </w:p>
        </w:tc>
        <w:tc>
          <w:tcPr>
            <w:tcW w:w="267"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349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88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255"/>
        </w:trPr>
        <w:tc>
          <w:tcPr>
            <w:tcW w:w="3261"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Implementasi Kinerja</w:t>
            </w:r>
          </w:p>
        </w:tc>
        <w:tc>
          <w:tcPr>
            <w:tcW w:w="267"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349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88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255"/>
        </w:trPr>
        <w:tc>
          <w:tcPr>
            <w:tcW w:w="1560"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870"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82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7"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349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88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255"/>
        </w:trPr>
        <w:tc>
          <w:tcPr>
            <w:tcW w:w="3544" w:type="dxa"/>
            <w:gridSpan w:val="3"/>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Isu dalam PGA REDD+</w:t>
            </w:r>
          </w:p>
        </w:tc>
        <w:tc>
          <w:tcPr>
            <w:tcW w:w="6453" w:type="dxa"/>
            <w:gridSpan w:val="4"/>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I. Perencanaan Kehutanan dan Tata Ruang </w:t>
            </w:r>
          </w:p>
        </w:tc>
        <w:tc>
          <w:tcPr>
            <w:tcW w:w="88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3261"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a. Tingkat penerimaan (legitimasi) atas dokumen RTRWP/RTRWK/Kehutanan</w:t>
            </w:r>
          </w:p>
        </w:tc>
      </w:tr>
      <w:tr w:rsidR="00437ED9" w:rsidRPr="00437ED9" w:rsidTr="00437ED9">
        <w:trPr>
          <w:trHeight w:val="300"/>
        </w:trPr>
        <w:tc>
          <w:tcPr>
            <w:tcW w:w="3261"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098"/>
        <w:gridCol w:w="1453"/>
        <w:gridCol w:w="1135"/>
        <w:gridCol w:w="1269"/>
        <w:gridCol w:w="1140"/>
        <w:gridCol w:w="2694"/>
        <w:gridCol w:w="1382"/>
      </w:tblGrid>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819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FIa1</w:t>
            </w:r>
          </w:p>
        </w:tc>
        <w:tc>
          <w:tcPr>
            <w:tcW w:w="109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Bagaimana (tingkat) penerimaan (legitimasi) stakeholder atas dokumen RTRWP/RTRWK/Kehutanan?</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RTRWK Agara terutama di bidang kehutanan yang disahkan pada tahun 2010 cukup baik, sebagian besar menerima dokumen tersebut, meski tidak dapat dipungkiri adanya kelompok yang belum menerima legitimasi dokumen tersebut. Meski terjadi perdebatan yang alot di internal DPRK, bahkan persidangan pengasahan RTRWK Agara diwarnai aksi demontrasi dari kelompok yang menolak pengesahan RTRWK tersebut, tetapi penolakan terhadap RTRWK tersebut tidak tergolong signifikan. Sebagian besar pihak justru menerima keberadaan RTRWK tersebut.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Di DPRK Agara, salah seorang anggota legislatif (Erdarina Pelis) tergolong yang paling keras menolak pengesahan RTRWK, meski sebagian besar anggota legislatif menerima. Erdarina dalam sidang paripurna pengesahan Qanun RTRWK tersebut bahkan sempat diusir dari persidangan karena bersikukuh menolak pengesahan RTRWK.  Pemerintah propinsi dan pemerintah pusat juga belum bisa menerima RTWRK yang disahkan, meski jarak waktu dari pengasahan sampai dengan sekarang sudah lebih dari dua tahun. Kelompok masyarakat sipil sebagain menolak, tetapi masyarakat di Aceh tenggara khususnya di yang selama ini bermukim di kasawan Lauser sangat mendukung rencana tersebut.  Sumber perdebatan tentang RTRWK adalah perluasan </w:t>
            </w:r>
            <w:r w:rsidRPr="00437ED9">
              <w:rPr>
                <w:rFonts w:ascii="Times New Roman" w:eastAsia="Times New Roman" w:hAnsi="Times New Roman" w:cs="Times New Roman"/>
                <w:color w:val="000000"/>
                <w:sz w:val="20"/>
                <w:szCs w:val="20"/>
                <w:lang w:eastAsia="id-ID"/>
              </w:rPr>
              <w:lastRenderedPageBreak/>
              <w:t>area penggunaan lain sebesar 15,754 Ha. Ini terutama untuk pembentukan kecamatan Lauser.  Kawasan yang diusulkan untuk diperluas ini statusnya sebagai kawasan lindung.</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Berdasarkan penelusuran yang dilakukan peneliti, konflik ketata-ruangan di Kabupaten Aceh Tenggara membuat aturan yang sudah ditetpakan dua tahun lalu ini tidak diketahui para pihak. Masyarakat sulit mendapatkan akses perda RTRWK yang disahkan. Pemerintah daerah sendiri tidak begitu terbuka untuk menyosialisasikan perda tersebut karena beralasan Qanun masih dalam proses perbaikan. Alhasil, tidak banyak publik yang tahu peruntukan keruangan di Kabupaten Agara yang tertuang dalam Qanun No 1 Tahun 2010.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4</w:t>
            </w:r>
          </w:p>
        </w:tc>
      </w:tr>
      <w:tr w:rsidR="00437ED9" w:rsidRPr="00437ED9" w:rsidTr="00437ED9">
        <w:trPr>
          <w:trHeight w:val="127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PU</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Ada LSM yang memprotes waktu pengesahan dahulu, tapi sekarang tidak ada lagi. RTRWK sekarang dalam proses pengesahan. Semua stake holder di Aceh Tenggara mendukung RTRWK, karena kita tidak bisa melakukan program-program pembangunan masyarakat kalau RTRWK kita masih belum selesai. Sekarang RTRWK dibahas dipropinsi.</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4</w:t>
            </w:r>
          </w:p>
        </w:tc>
      </w:tr>
      <w:tr w:rsidR="00437ED9" w:rsidRPr="00437ED9" w:rsidTr="00437ED9">
        <w:trPr>
          <w:trHeight w:val="819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Perdebatan terjadi karena alih fungsi kawasan hutan lindung di Lauser menjadi kecamatan Lauser. Itu dipronpinsi Aceh dan pusat masih belum bisa diterima. Sepertinya merupakan kebijakan yang amat berat bagi pemerintah untuk mengalokasikan kebijakan pembangunan di kawasan lauser, karena status kawasan yang masih merupakan hutan lindung.  Masalahnya begini, dalam tata ruang kabupaten, kecamatan Lauser sudah dimasukkan ke dalam tata ruang. Sementara di tata ruang aceh status kawasan merupakan hutan lindung. Tapi bagi pemerintah daerah, di stu sudah ada masyarakat yang berkembang biak sejak waktu lama, sudah ada pembangunan fasilitas publik, baik kantor kecamatan, puskesmas, jalan, sekolah, mesjid dan warga yang tinggal di sana juga sudah banyak. Karena itu pemerintah mengusulkan agar wilayah itu menjadi APL. Itu berada di kawasan penyangga di Lindung Lauser. Masalahnya itu sudah melanggar undang-undang tentang KEL (Kawasan Ekosistem lauser). Akhirnya, meski sudah disahkan DPRK, tapi mental di tingkat propinsi. Sampai sekarang masalah ini belum clear.  Kita aktif melakukan advokasi untuk penolakan peralihan menjadi APL. Kita kawatir karena di situ mau dibuat jalan tembus lintas kabupaten.  Kalau dibuat jalan lintas kabupaten, pastilah imbasnya akan ada pemukiman baru di sekitar jalan, dan lama-lama akan semakin masuk ke dalam. Ini yang menurut kita merupakan ancamaan bagi KEL (Kawasan Ekosistem Lauser). Saya sangat miris dengan kondisi Aceh Tenggara saat ini. setelah pemekaran dengan Gayo Lues, Aceh Tenggara lahannya sangat berkurang. Hanya sekitar . Penduduknya banyak, tapi wilayah budidayanya kecil. Dan tiga perempat kawasan itu </w:t>
            </w:r>
            <w:r w:rsidRPr="00437ED9">
              <w:rPr>
                <w:rFonts w:ascii="Times New Roman" w:eastAsia="Times New Roman" w:hAnsi="Times New Roman" w:cs="Times New Roman"/>
                <w:color w:val="000000"/>
                <w:sz w:val="20"/>
                <w:szCs w:val="20"/>
                <w:lang w:eastAsia="id-ID"/>
              </w:rPr>
              <w:lastRenderedPageBreak/>
              <w:t xml:space="preserve">merupakan kawasan KEL. Secara statistik pertumbuhan manusianya banyak. Pertanyaannya, kemana anak-anak kita nanti akan hidup? Tentu perkembangan ini akan memanfatkan lahan yang kosong. Perkembangan perekonomian juga. Kita bukan daerah laut, tetapi hanya mengandalkan lahan pertanian dan hutan.  Maka ketika kita bicara untuk mencegah penebangan hutan, tapi kita sendiri misris kalau kita merasakan sempitnya ruang hidup masayarakt. Tahun 2011 pemerintah memberikan bantuan  sebanyak 4000.000 bibit coklat dikasikan kepada warga. Itu kan membutuhkan lahan yang luar biasanya banyaknya. Swis Contact juga melakukan advokasi penanaman kakao. Itu juga mendorong penanaman cokelat. Yang menjadi persolan, pemerintah keluarkan kebijakan membagi-bagikan bibit cokelat, lalu mau ditanam dimana? Lalau ditanam di belakang rumah-rumah warga. Tapi ini kan pada akhirnya juga merambah kawasan di hutan lindung penanamannya. Kita bersama teman-teman NGO di sini pernah mendoring agar kawasan dengan kemiringan 60 derajat ke atas jangan ditanami cokelat. Karena akar cokelat dangkal, tapi kita doring tanaman yang konservatif. Tapi masyarakat tetap rajin buka lahan, untuk kehidupan yang lebih layak. Eksesnya, produktifitas air tak ada lagi. satu jam hujan turun, tanahnya sudah keruh semua. Sering juga terjadi longsor. Aceh tenggara menjadi kawasan yang sangat rawan bencara, karena dilihat dari kultur wilayah geografis, topografi kita kan miring, seperti kuali.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2</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informan tidak menjawab</w:t>
            </w:r>
          </w:p>
        </w:tc>
        <w:tc>
          <w:tcPr>
            <w:tcW w:w="1382" w:type="dxa"/>
            <w:tcBorders>
              <w:top w:val="nil"/>
              <w:left w:val="nil"/>
              <w:bottom w:val="single" w:sz="4" w:space="0" w:color="auto"/>
              <w:right w:val="single" w:sz="4" w:space="0" w:color="auto"/>
            </w:tcBorders>
            <w:shd w:val="clear" w:color="000000" w:fill="FFFF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51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Asosiasi Pengusaha</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informan tidak menjawab</w:t>
            </w:r>
          </w:p>
        </w:tc>
        <w:tc>
          <w:tcPr>
            <w:tcW w:w="1382" w:type="dxa"/>
            <w:tcBorders>
              <w:top w:val="nil"/>
              <w:left w:val="nil"/>
              <w:bottom w:val="single" w:sz="4" w:space="0" w:color="auto"/>
              <w:right w:val="single" w:sz="4" w:space="0" w:color="auto"/>
            </w:tcBorders>
            <w:shd w:val="clear" w:color="000000" w:fill="FFFF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819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Akademisi</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Tata ruang kita belum bisa diterima sepenuhnya. Ini karena belum disetujuinya pembentukan Kecamatan Lauser yang ada dalam tata ruang kita yang baru disahkan pada 2010 lalu. Tidak disetujui karena ada di kawasan lindung, Untuk dapat makan oorang ini kan akan berjuang mati-matian. Kalau orang bilang jagalah paru-paru dunia agar orang bisa hidup. Boro-boro begitu, biarlah dunia terbatuk-batuk, yang penting kami di sini bisa hidup. Itu prinsip masyarakat kita di sini.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Kalau kita lihat, topografi kita ini kan bergelombang. Yang penting jangan kita jadikan masyarakt ini terkunkung. Kalau untuk urusan mereka bisa bertahan hidup, jangan kita batasi. Jangan kita larang meraka cari makan. Karena menafkahi keluarga ini meruapakan persoalan hidup mati. Siapapun orangnya pasti akan berjuang agar keluarganya makan. Kalau pemerintah melarang, lalu solusi alternatifnya apa. Itu yang harus dipikirkan.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Orang buka lahan memang efeknya kerusakan hutan.  Maka kita harus membuat masyarakat bertanggung-jawab atau hutan yang dia buka. Kita harus kembalikan sebagain fungsi hutan yang terdegradasi tersebut.  Tentu secara keseluruhan tidak bisa. Di sinilah langkah pemerintah dengan bantuan bibit agar masyarakat menanam hutan yang sehingga fungsi tanaan tersebut sebagai penahan air dapat berjalan, sebagai penyedia O2 dapat terjada, juag sebagai penyedia makanan bagi masyarakatnya juga dapat terpenuhi. Intinya, manusianya dapat hidup, dan hutan tetap lestari. Tapi kalau kita berprinsip hutan sebagai sesuatu yang sama-sekali tidak bisa dijamah, itu sudah tidak masanya lagi.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Proses pembentukan </w:t>
            </w:r>
            <w:r w:rsidRPr="00437ED9">
              <w:rPr>
                <w:rFonts w:ascii="Times New Roman" w:eastAsia="Times New Roman" w:hAnsi="Times New Roman" w:cs="Times New Roman"/>
                <w:color w:val="000000"/>
                <w:sz w:val="20"/>
                <w:szCs w:val="20"/>
                <w:lang w:eastAsia="id-ID"/>
              </w:rPr>
              <w:lastRenderedPageBreak/>
              <w:t xml:space="preserve">pemukiman di kawasan yang statusnya hutan lindung, yang dahulunya merupakan area produksi hutan terbatas. Ketika masih HPT (Hutan Produksi Terbatas) pemerintah menerbitkan HPH (Hak Pengausahaan Hutan) kepad perusahaan-perusahaan tertentu untuk melakukan penebangan. Ketika dilakukan penebangan, para peerja yang melakukan penebangan ini membentuk pemukiman. Dan pemukiman baru terbentuk seiring dengan lokasi HPH yang sedang dilakukan penebangan. Maka terjadilah beberapa pemukiman baru di dalam hutan. Lalu ketika masa HPH sudah selesai, dan kawasan tersebut dikembabalikan statusnya sebagai kawsan lindung, maka pemukiman-pemukiman ini tetap ada disitu. Adalah sebuah tanggung-jawab negara untu memberikan layanan fasilitas umum ketika sebuah pemukiman baru terbentuk. Lalu dibangunlah sekolah, fasilitas kesehatan, jalan maupun litrik dikawasan tersebut. Pembangunan dilakukan arena di situ ada masyarakat yang berdomisili. Semakin lama terbentuknya wilayah, yang katakanlah seperti kawasan Lauser, yang dinilai perlu untuk disahkan kawasannaya sebagai APL. Kawasan di Kecamatan Lauser itu statusnya masih Hutan Lindung. Lalu dalam tata ruang kabupaten yang baru diusulkan perluasan wilayah APL dengan pembebasan beberapa kawasan dari status kawasan lindung di area kecamatan Lauser. Inilah yang kemudian memunculkan kontroversi dalam tata ruang kabupaten yang baru. Banyak pihak yang belum setuju dengan program pemerintah yang deikian itu.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Bagi kita di Aceh Tenggara,keputusan yang dilakukan pemerintah mengalihkan dari kawasan HPT (Hutan Produksi Terbatas) menjadi Hutan </w:t>
            </w:r>
            <w:r w:rsidRPr="00437ED9">
              <w:rPr>
                <w:rFonts w:ascii="Times New Roman" w:eastAsia="Times New Roman" w:hAnsi="Times New Roman" w:cs="Times New Roman"/>
                <w:color w:val="000000"/>
                <w:sz w:val="20"/>
                <w:szCs w:val="20"/>
                <w:lang w:eastAsia="id-ID"/>
              </w:rPr>
              <w:lastRenderedPageBreak/>
              <w:t xml:space="preserve">Lindung, yang dilakukan tanpa berkonsultasi dengan pemerintah daerah merukan sumber masalahnya. Pemerintah pusat tidak mengkroscek bahwa awasan yang akan dijadikan arean HL rupanya sudah ada pemukiman warga. Ini yang  saat ini sedang diupayakan pemerintah daerah untuk diperbaiki.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2</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Wawancara – Sumber informasi</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712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FIb1</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Jumlah luas kawasan hutan yang dikukuhkan dan dite-rima oleh para pihak</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Qanun Kabupaten Aceh Tenggara Nomor  :  1 Tahun 2010 Tentang Revisi Rencana Tata Ruang  Wilayah Kabupaten Aceh Tenggara Tahun 2010-2030. Ringksan : Pasal 5 ayat (d) : penetapan kawasan strategis Kabupaten Aceh Tenggara yang merupakan bagian Wilayah kabupaten yang penataan ruangnya diprioritaskan, yaitu perubahan peruntukan dan fungsi Kawasan hutan di Kecamatan Leuser dari kawasan hutan lindung menjadi Areal Penggunaan Lain (APL) seluas 15.754 Ha, karena mempunyai pengaruh sangat penting terhadap ekonomi, sosial budaya, dan/atau lingkungan; Pasal 6 ayat </w:t>
            </w:r>
            <w:r w:rsidRPr="00437ED9">
              <w:rPr>
                <w:rFonts w:ascii="Times New Roman" w:eastAsia="Times New Roman" w:hAnsi="Times New Roman" w:cs="Times New Roman"/>
                <w:color w:val="000000"/>
                <w:sz w:val="20"/>
                <w:szCs w:val="20"/>
                <w:lang w:eastAsia="id-ID"/>
              </w:rPr>
              <w:lastRenderedPageBreak/>
              <w:t xml:space="preserve">(1): Lingkup wilayah perencanaan Rencana Tata Ruang Wilayah Kabupaten (RTRWK) Aceh Tenggara meliputi seluruh wilayah administrasi Kecamatan di Kabupaten Aceh Tenggara dengan total luas wilayah adalah 423.128 Ha.  </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5</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Jawaban responden terhadap pertanyaan tentang tingkat penerimaan para pihak terhadap jumlah luas kawasan hutan yang telah dikukuhkan: sangat baik, para pihak menerima kawasan hutan yang telah dikukuhkan. Tetapi, berdasarkan wawancara mendalam yang dilakukan, penerimaan para pihak terhadap kawasan hutan yang dikukuhkan, merupakan suatu hal yang masih problematis.  Semua satker di pemerintah daerah kabupaten Aceh Tenggara memang menerima sepenuhnya Qanun No 1 Tahun 2010 tentang RTRWK Agara. Tetapi di luar instansi pemerintah tersebut, RTRWK Agara banyak menuai kritik.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Para pihak, terutama pemerintah kabupaten belum dapat menerima peruntukan keruangan yang ditetapkan pemerintah Propinsi pada tahun 1999 tentang aturan keruangan di kabupaten Agara. Buktinya, pemerintah kabupaten mengusulkan agar area budi daya ditambah, dan kawasan hutan lindung di kurangi. Di Kecamatan Lauser, kawasan yang berdasarkan atura keruangan erupakan kawasan hutan lindung, tetapi oleh pemerinath kabupaten diusulkan untuk dilepaskan dari status kawasan lindung. Secara faktual, sejak tahun 2006, melalui Qanun No 19 Tahun 2006 tentang Pembentukan Kecamatan  Ketambe, deleng PokhKhisen, lawe Sumur, Tanah alas, dan Lauser, disebutkan bahwa lauser merupakan kecamatan tersendiri, meskipun kawasannnya statusnya hutan lindung. Pemerintah sejak tahun-tahun sebelumnya hingga sekarang juga sudah banyak membangun fasilitas publik di kawasan tersebut, seperti misalnya Kantor kecamatan, lembaga Pendidikan, Puskesman, membangun jalan asapal, dll, yang sumber anggarannya tidak hanya pemerintah </w:t>
            </w:r>
            <w:r w:rsidRPr="00437ED9">
              <w:rPr>
                <w:rFonts w:ascii="Times New Roman" w:eastAsia="Times New Roman" w:hAnsi="Times New Roman" w:cs="Times New Roman"/>
                <w:color w:val="000000"/>
                <w:sz w:val="20"/>
                <w:szCs w:val="20"/>
                <w:lang w:eastAsia="id-ID"/>
              </w:rPr>
              <w:lastRenderedPageBreak/>
              <w:t xml:space="preserve">kabupten, tetapi juga dari pemerintah propinsi dan pusat.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5</w:t>
            </w:r>
          </w:p>
        </w:tc>
      </w:tr>
      <w:tr w:rsidR="00437ED9" w:rsidRPr="00437ED9" w:rsidTr="00437ED9">
        <w:trPr>
          <w:trHeight w:val="220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Dokumen pernyataan sikap tentang protes pengalihfungsian Hutan Lindung menjadi APL di Kecamatan Lauser.</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Masyarakat di Aceh Tenggara mendukung perluasan APL, tetapi pemerintah propinsi dan pusat sampai saat ini belum bisa menerima. RTRWK Acah Tenggara sampai sekarang belum jelas statusnya, karena belum disahkan pihak propinsi.  Juga terjadi konflik perebutan otoritas tentang pengelolaan kawasan ekosistem Lauser. BPKEL dan Balai taman Nasional ekosistem Lauser masing-masing punya klaim sendiri yang masing-masing berdasarkan undang-undang dalam mengklaim otoritasnya.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175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Dokumen pernyataan sikap tentang protes pengalihfungsian Hutan Lindung menjadi APL di Kecamatan Lauser.</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Masyarakat pada prinsipnya mendukung, tapi tetap harus dilakukan sesuai dengan prosedur yang berlaku. Pemerintah daerah tidak bisa merubah status kawasan di Kecamatan Lauser, sebelum status di tata ruang nasional juga di rubah. Karena itu pengurangan luas kawasan hutan Aceh Tenggara sebagaimana dilakukan dalam RTRWK, masih belum sepenuhnya diterima para </w:t>
            </w:r>
            <w:r w:rsidRPr="00437ED9">
              <w:rPr>
                <w:rFonts w:ascii="Times New Roman" w:eastAsia="Times New Roman" w:hAnsi="Times New Roman" w:cs="Times New Roman"/>
                <w:color w:val="000000"/>
                <w:sz w:val="20"/>
                <w:szCs w:val="20"/>
                <w:lang w:eastAsia="id-ID"/>
              </w:rPr>
              <w:lastRenderedPageBreak/>
              <w:t xml:space="preserve">pihak.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3</w:t>
            </w:r>
          </w:p>
        </w:tc>
      </w:tr>
      <w:tr w:rsidR="00437ED9" w:rsidRPr="00437ED9" w:rsidTr="00437ED9">
        <w:trPr>
          <w:trHeight w:val="726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Akademisi</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Hanya informasi lisan yang disampaikan, dokumen tidak didapatkan.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Sumber perdebatan tentang tata ruang yang disusun pemerintah kabupaten adalah karena usulan konversi sekitar 23 hektar hutan lindung menjadi APL (Arena Penggunaan Lain), terutama di kecamatan Lauser. Ini memunculkan perdebatan pro dan kontra di masyarakat dan ppihak-pihak terkait.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Masyarkat adat di Indonesia ini kan sudah dimandulkan, tidak diakui hak-haknya dalam penguasaan pertanahan. Masyarkat dilemahkan hak-haknya.  Untuk pengaturan masyarakat, hak-hak masyarakat adat sudah dilemahkan. Aceh Tenggara secara historis tidak ada lagi mengenal hutan adat. </w:t>
            </w:r>
            <w:r w:rsidRPr="00437ED9">
              <w:rPr>
                <w:rFonts w:ascii="Times New Roman" w:eastAsia="Times New Roman" w:hAnsi="Times New Roman" w:cs="Times New Roman"/>
                <w:color w:val="000000"/>
                <w:sz w:val="20"/>
                <w:szCs w:val="20"/>
                <w:lang w:eastAsia="id-ID"/>
              </w:rPr>
              <w:br/>
              <w:t xml:space="preserve"> </w:t>
            </w:r>
            <w:r w:rsidRPr="00437ED9">
              <w:rPr>
                <w:rFonts w:ascii="Times New Roman" w:eastAsia="Times New Roman" w:hAnsi="Times New Roman" w:cs="Times New Roman"/>
                <w:color w:val="000000"/>
                <w:sz w:val="20"/>
                <w:szCs w:val="20"/>
                <w:lang w:eastAsia="id-ID"/>
              </w:rPr>
              <w:br/>
              <w:t xml:space="preserve">Pada prinsipnya kita sepakat dengan agenda pengawetan hutan. Kita tidak ada masalah dengan itu. Tapi yang menjadi masalah adalah, setelah hutan kita awetkan lalu kita bagaimana. Orang-orang yang tinggal di sekitar hutan bagaimana. Perlu dicatat bahwa masyarakat Aceh Tenggara sekitar 80 persen adalah petani, mengandalkan hidup dari pertanian. Sementara 80 persen kawasan kita hutan lindung. Sementara kita di sini tidak ada industri, semua mengandalkan dari sektor pertanian.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Mana kearifan negara? Negara menginginkan masyarakat menjaga hutan. Lalu bagaimana mereka akan hidup. Kita di sini tidak ada laut.  Dataran rendahnya juga terbatas. Kalau kita kurung masyarakat ini, bagaimana? Orang dipenjara juga butuh makan. Tahun 1970-an, luas wilayah yang diperbolehkan untuk dikelola ekonomi dan </w:t>
            </w:r>
            <w:r w:rsidRPr="00437ED9">
              <w:rPr>
                <w:rFonts w:ascii="Times New Roman" w:eastAsia="Times New Roman" w:hAnsi="Times New Roman" w:cs="Times New Roman"/>
                <w:color w:val="000000"/>
                <w:sz w:val="20"/>
                <w:szCs w:val="20"/>
                <w:lang w:eastAsia="id-ID"/>
              </w:rPr>
              <w:lastRenderedPageBreak/>
              <w:t xml:space="preserve">sosial lebih sedikit, tapi waktu itu jumlah penduduk masih sedikit. Waktu itu penduduknya masih 70.000.  Lias lahan 140.000 Ha. Tapi kalau sekarang jumlah  sudah bertambah. Sekitar 200.000. Jumlah lahannya sama. Jangankan untuk hidup, untuk bernafas juga makin susah. Untuk tinggal susah.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Kebijakan yang vertikal dari pusat, kemudian kita hanya bergerak dari sisi kehutanan, yang muncul hanya bentuknya larangan, tanpa ada solusi. Pemerintah melarang, tanpa memberikan solusi untuk sumber pencaharian ekonomi mereka. Yang ada dalam program pengawetan hutan itu hanya larangan, tidak ada solusi untuk pencaharian masyarakat. Kalau dihitung luas lahan, dan dibandingkan dengan jumlah penduduk, kita ini sudah tergolong padang. Satu hektar berbanding dengan 25 jiwa. Ini kan padat, untuk ukuran kabupaten seperti Aceh Tenggara.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2</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645"/>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Wawancara – Sumber informasi</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570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FIc1</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Sumber : Dokumen Tata Ruang Aceh Tenggara. Peruntukan dan fungsi kawasan hutan Aceh Tenggara berdasarkan SK Gubernur Aceh Nomor 19 Tahun 1999 tentang arahan fungsi hutan adalah : Areal Penggunaan Lain (APL) sebanyak 47.349 ha (11.19%), Hutan Lindung  (HL) sebanyak  95.619 ha (22.62%), dan Hutan Konservasi (HK) sebanyak 280.160 ha (66.21%). Total wilayah seluas  423.128 ha (100%). </w:t>
            </w:r>
            <w:r w:rsidRPr="00437ED9">
              <w:rPr>
                <w:rFonts w:ascii="Times New Roman" w:eastAsia="Times New Roman" w:hAnsi="Times New Roman" w:cs="Times New Roman"/>
                <w:color w:val="000000"/>
                <w:sz w:val="20"/>
                <w:szCs w:val="20"/>
                <w:lang w:eastAsia="id-ID"/>
              </w:rPr>
              <w:br/>
              <w:t xml:space="preserve">Dokumen juga menyebutkan merubah Hutan Lindung yang ada di Kecamatan Leuser menjadi Areal Penggunaan Lain seluas 15.754 ha sehingga menjadi sebagai berikut : Areal Penggunaan Lain (APL) </w:t>
            </w:r>
            <w:r w:rsidRPr="00437ED9">
              <w:rPr>
                <w:rFonts w:ascii="Times New Roman" w:eastAsia="Times New Roman" w:hAnsi="Times New Roman" w:cs="Times New Roman"/>
                <w:color w:val="000000"/>
                <w:sz w:val="20"/>
                <w:szCs w:val="20"/>
                <w:lang w:eastAsia="id-ID"/>
              </w:rPr>
              <w:lastRenderedPageBreak/>
              <w:t>sebanyak 63.101 ha (14.91%), sebanyak Hutan Lindung  (HL), dan  79.865 (18.88%), serta Hutan Konservasi (HK) sebanyak 280.160 ha (66.21%).   Jumlah Total sebanyak 423.128 ha (100%)</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4</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 Belum ada pengakuan ruang kelola masyarakat adat/lokal yang mendapatkan legalitas sebagaimana diatur dalam RTRWK Agara Tahun 2010, demikian pula dalam Tata Ruang Propinsi. Secara ada pengakuan terhadap masyarakat adat, dan pengakuan akan kewenangan yang dimiliki. Tetapi sejauh menyangkut dengan kewilayahan, masyarakat adat tidak memiliki kewenangan keruangan, terlebih ketika kewenangan tersebut mendapat pengakuan dalam RTWRK. Meskipun di aceh Tenggara ada NGO seperti Ampehra (Asosiasi Pengelola Hutan Rakyat), yang ketuanya Sdr. Soeharto, tetapi tidak didapatkan informasi yang jelas menganai kawasan hutan rakyat yang dikelola. Pastinya, secara The Jure memang tidak ada pengakuan tentang keruangan yang dikelola masyarakat adat.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Beberapa tahun lalu ada aspirasi dari Jaringan Masyarakat Adat Aceh Tenggara (JKMATRA) tentang pengusulan Resam Gampong (semacam Rancangan Qanun Tentang Pemerintahan Desa), tetapi hal tersebut belum dapat direalisasikan karena banyaknya kendala yang dihadapi.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Tetapi selaku pemerintah kabupaten, dinas kehutanan selalu berhasil merealisasikan program-program yang terkait dengan pengelolaan hutan, kalau program tersebut memang sudah diplotkan anggarannya. Itu selalu terealissikan dengan baik.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4</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data yang didapatkan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Pemerintah belum memberikan pengakuan terhadap hak kelola bagi masyarakat adat. Memang sebagian masyarakat adat memiliki wilayah, tapi itu kan tidak ada pengakuan dari pemerintah, palagi diakodasi dalam tata ruang</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data yang didapatkan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Pemerintah daerah secara formal belum mengakui adanya peruntukan wilayah untuk masyarakat adat.</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544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Akademisi</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data yang didapatkan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REDD ini kan konsep orang luar yang kita di sini melalui pemerintah pusat di dorong untuk melaksanakannya. Kami diminta menyuarakan konsep REDD yang katanya ada kompensasi, tapi sampai sekarang juga belum jelas mekanisme kompensasinya, dan apakah masyarakt akan mendapatkan bagian. Kita diminta menyuarakan, dan kalau kita tidak suarakan, lalu masyarakat memusuhi kami. Kita ini orang yang hidup disekitar hutan. Jangan pula kita dilarang untuk berpikir tentang begaimana kita bergantug dengan hutan.  Kita tidak bisa melarang orang di sini memikirkan untuk memanfaatkan hutan, karena begitu dia bangun tidur, buka pintu dia langsung akan berhadaan dengan hutan.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lastRenderedPageBreak/>
              <w:br/>
              <w:t xml:space="preserve">Konsep REDD ini  kan orang dilarang menebang pohon. Tapi yang saya tidak habis pikir, ketika dipohon itu ada rotan merambat, kenapa kita juga di larang mengambil rotan di situ. kalau pohon yang dilarang ditebang, ya nebang pohonnya aja yang dilarang. Jangan masyarakat yang ngambil rotan ikutan ditangkap. Ini yang terjadi adalah ada orang dibantu untuk menanam rotan, lalu langsung dilarang masuk hutan.padahal, menanam rotan saja butuh waktu. Tidak cukup satu malam seperti orang nanam toge.  Mestinya, sebelum berhasil itu tanaman, pemerintah mesti tangguh segala macam kebutuhan orang agar dia tidak kembali lagi merambah hutan.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2</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Wawancara – Sumber informasi</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324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FId1</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dokumen yang menjelaskan data konflik lahan yang tercatat di dinas kehutanan.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konflik yang ditangai Dinas Kehutanan dan perkebunan. Memang ada konflik pertanahan, tapi tu di luar pengetahun Dishutbun. Misalnya konflik yang terjadi antara sesama perambah di kawasan hutan lindung. Tetapi mereka tidak berani mengadukan permasalahan mereka kepada dinas kehutanan, karena aktivitas perambahan tersebut dengan sendirinya sudah merupakan pelanggaran.  Jadi pertanyan tersebut tidak dapat dijawab responden.</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Tetapi, Azanuddin Kurnia juga menyeriatakan kepadapeneliti bahwa sebelumnya ada upaya yang dilakukan Dinas Kehutanan dan Perkebunan untuk melakukan penyelesaian konflik pertanahan, dan menjadikannya sebagai pilot </w:t>
            </w:r>
            <w:r w:rsidRPr="00437ED9">
              <w:rPr>
                <w:rFonts w:ascii="Times New Roman" w:eastAsia="Times New Roman" w:hAnsi="Times New Roman" w:cs="Times New Roman"/>
                <w:color w:val="000000"/>
                <w:sz w:val="20"/>
                <w:szCs w:val="20"/>
                <w:lang w:eastAsia="id-ID"/>
              </w:rPr>
              <w:lastRenderedPageBreak/>
              <w:t xml:space="preserve">projek penyelesaian konflik pertanahan di Aceh Tenggara. Tetapi gagasan tersebut belum berhasil diwujudkan.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1</w:t>
            </w:r>
          </w:p>
        </w:tc>
      </w:tr>
      <w:tr w:rsidR="00437ED9" w:rsidRPr="00437ED9" w:rsidTr="00437ED9">
        <w:trPr>
          <w:trHeight w:val="327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diperlukan secara tertulis.</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Di sini sebetulnya tidak ada konflik masalah lahan. Kalau pun ada konflik itu sesama masyarat.misalnya berebut kawasan untuk nanam. Di sini masyarakat memanfaatkan lahan kan dengan tebang hutan, lalu tanam. Kita ini memmeliki keterbatasan wilayah. Masyaraka kita bertambah, semetara wilayah kita terutama yang APL itu sangat sedikit. Pertumbuhanpenduduk kita sampai seribu orang, tapi di sini tidak ada perluasan wilayah untuk budidaya. Tidak ada sumber-sumber pertanian yang dapa kita harapkan untuk menghidupi orang. padi pun sekarang sudah di beli dari Medan.  Dua tahun lalu, di seberang sana (tempat kami wawancara, di pinggir jalan lintas utama kabupaten, red.) itu sawah, tapi sekarang sudah jadi rumah.  Banyak juga di wilayah yang lain. Mau tidak mau memang kita sangat rawan. Itu yang memunculkan konflik di kita.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diperlukan secara tertulis.</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informan tidak menjawab</w:t>
            </w:r>
          </w:p>
        </w:tc>
        <w:tc>
          <w:tcPr>
            <w:tcW w:w="1382" w:type="dxa"/>
            <w:tcBorders>
              <w:top w:val="nil"/>
              <w:left w:val="nil"/>
              <w:bottom w:val="single" w:sz="4" w:space="0" w:color="auto"/>
              <w:right w:val="single" w:sz="4" w:space="0" w:color="auto"/>
            </w:tcBorders>
            <w:shd w:val="clear" w:color="000000" w:fill="FFFF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51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Akademisi</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diperlukan secara tertulis.</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Tidak ada informasi yang cukup tentang penanganan konflik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99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FId2</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Hasil mediasi bisa diterima oleh semua pihak dan dijalankan secara konsisten</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mediasi</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Tidak ada mediasi, dan dengan sendirinya tidak ada mediasi yang diterima dengan baik semua pihak atau opsi lainnya yang disediakan dalam pertanyaan penelitian. </w:t>
            </w:r>
          </w:p>
        </w:tc>
        <w:tc>
          <w:tcPr>
            <w:tcW w:w="1382" w:type="dxa"/>
            <w:tcBorders>
              <w:top w:val="nil"/>
              <w:left w:val="nil"/>
              <w:bottom w:val="single" w:sz="4" w:space="0" w:color="auto"/>
              <w:right w:val="single" w:sz="4" w:space="0" w:color="auto"/>
            </w:tcBorders>
            <w:shd w:val="clear" w:color="000000" w:fill="FFFF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150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mediasi</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Kalau kasus konflik yang diselesaikan pemerintah saya tidak tahu, sepertinya tidak ada. Tapi kalau ada konflik sesama masyarakat, dapat diselesaikan sesama mereka dan ada juga yang kita dilibatkan. Saya rasa bisa diterima hasil mediasi  kita tawarkan. Itu dilakukan dengan secara tradisional aja.  </w:t>
            </w:r>
          </w:p>
        </w:tc>
        <w:tc>
          <w:tcPr>
            <w:tcW w:w="1382" w:type="dxa"/>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Tidak banyak kasus yang diselesaikan dengan cara mediasi yang difasilitasi negara.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51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Akademisi</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Tidak dijawab karena tidak ada kejelasan tentang  penanganan konflik kehutanan. </w:t>
            </w:r>
          </w:p>
        </w:tc>
        <w:tc>
          <w:tcPr>
            <w:tcW w:w="1382" w:type="dxa"/>
            <w:tcBorders>
              <w:top w:val="nil"/>
              <w:left w:val="nil"/>
              <w:bottom w:val="single" w:sz="4" w:space="0" w:color="auto"/>
              <w:right w:val="single" w:sz="4" w:space="0" w:color="auto"/>
            </w:tcBorders>
            <w:shd w:val="clear" w:color="000000" w:fill="FFFF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255"/>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Isu dalam PGA REDD+</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2404"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II. Pengaturan Hak  </w:t>
            </w:r>
          </w:p>
        </w:tc>
        <w:tc>
          <w:tcPr>
            <w:tcW w:w="1140"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269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p>
        </w:tc>
      </w:tr>
      <w:tr w:rsidR="00437ED9" w:rsidRPr="00437ED9" w:rsidTr="00437ED9">
        <w:trPr>
          <w:trHeight w:val="6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437ED9">
              <w:rPr>
                <w:rFonts w:ascii="Times New Roman" w:eastAsia="Times New Roman" w:hAnsi="Times New Roman" w:cs="Times New Roman"/>
                <w:b/>
                <w:bCs/>
                <w:color w:val="000000"/>
                <w:sz w:val="20"/>
                <w:szCs w:val="20"/>
                <w:lang w:eastAsia="id-ID"/>
              </w:rPr>
              <w:br/>
              <w:t xml:space="preserve">   masyarakat dan bisnis di Kementerian/SKPD </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 Kementerian/Dinas Kehutanan (Unit Pemberi Izin)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FIIa1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453"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6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437ED9">
              <w:rPr>
                <w:rFonts w:ascii="Times New Roman" w:eastAsia="Times New Roman" w:hAnsi="Times New Roman" w:cs="Times New Roman"/>
                <w:b/>
                <w:bCs/>
                <w:color w:val="000000"/>
                <w:sz w:val="20"/>
                <w:szCs w:val="20"/>
                <w:lang w:eastAsia="id-ID"/>
              </w:rPr>
              <w:br/>
              <w:t xml:space="preserve">   masyarakat dan bisnis di Kementerian/SKPD </w:t>
            </w:r>
            <w:r w:rsidRPr="00437ED9">
              <w:rPr>
                <w:rFonts w:ascii="Times New Roman" w:eastAsia="Times New Roman" w:hAnsi="Times New Roman" w:cs="Times New Roman"/>
                <w:b/>
                <w:bCs/>
                <w:color w:val="000000"/>
                <w:sz w:val="20"/>
                <w:szCs w:val="20"/>
                <w:lang w:eastAsia="id-ID"/>
              </w:rPr>
              <w:br/>
              <w:t xml:space="preserve"> </w:t>
            </w:r>
          </w:p>
        </w:tc>
      </w:tr>
      <w:tr w:rsidR="00437ED9" w:rsidRPr="00437ED9" w:rsidTr="00437ED9">
        <w:trPr>
          <w:trHeight w:val="6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437ED9">
              <w:rPr>
                <w:rFonts w:ascii="Times New Roman" w:eastAsia="Times New Roman" w:hAnsi="Times New Roman" w:cs="Times New Roman"/>
                <w:b/>
                <w:bCs/>
                <w:color w:val="000000"/>
                <w:sz w:val="20"/>
                <w:szCs w:val="20"/>
                <w:lang w:eastAsia="id-ID"/>
              </w:rPr>
              <w:br/>
              <w:t xml:space="preserve">  Kementerian/Dinas Kehutanan (Unit Pemberi Izin)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lastRenderedPageBreak/>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FIIb1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453"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45"/>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c. Jumlah konflik antar sesama penggunaan kawasan hutan </w:t>
            </w:r>
            <w:r w:rsidRPr="00437ED9">
              <w:rPr>
                <w:rFonts w:ascii="Times New Roman" w:eastAsia="Times New Roman" w:hAnsi="Times New Roman" w:cs="Times New Roman"/>
                <w:b/>
                <w:bCs/>
                <w:color w:val="000000"/>
                <w:sz w:val="20"/>
                <w:szCs w:val="20"/>
                <w:lang w:eastAsia="id-ID"/>
              </w:rPr>
              <w:br/>
              <w:t xml:space="preserve"> </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51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FIIc1</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Jumlah konflik antar sesama penggunaan kawasan hutan </w:t>
            </w:r>
          </w:p>
        </w:tc>
        <w:tc>
          <w:tcPr>
            <w:tcW w:w="1453"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510"/>
        </w:trPr>
        <w:tc>
          <w:tcPr>
            <w:tcW w:w="714"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Wawancara - Sumber informasi</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 Pemerintah (Pusat &amp; Daerah), LSM, AMAN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765"/>
        </w:trPr>
        <w:tc>
          <w:tcPr>
            <w:tcW w:w="714" w:type="dxa"/>
            <w:vMerge w:val="restart"/>
            <w:tcBorders>
              <w:top w:val="nil"/>
              <w:left w:val="single" w:sz="4" w:space="0" w:color="auto"/>
              <w:bottom w:val="single" w:sz="4" w:space="0" w:color="auto"/>
              <w:right w:val="single" w:sz="4" w:space="0" w:color="auto"/>
            </w:tcBorders>
            <w:shd w:val="clear" w:color="000000" w:fill="FFFF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Jumlah praktik terbaik (best practices) atas resolusi konflik terkait pengakuan hak masyarakat adat/lokal</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Tidak ada komentar terhadap pertanyaan yang diajukan, karena asumsi pertanyaan gugur ketika di Aceh Tenggara tidak ada contoh the best praktik dalam penyelesaian konflik pertanahan.  </w:t>
            </w:r>
          </w:p>
        </w:tc>
        <w:tc>
          <w:tcPr>
            <w:tcW w:w="1382" w:type="dxa"/>
            <w:tcBorders>
              <w:top w:val="nil"/>
              <w:left w:val="nil"/>
              <w:bottom w:val="single" w:sz="4" w:space="0" w:color="auto"/>
              <w:right w:val="single" w:sz="4" w:space="0" w:color="auto"/>
            </w:tcBorders>
            <w:shd w:val="clear" w:color="000000" w:fill="FFFF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51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praktik terbaik penyelesaian konflik</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praktik terbaik penyelesaian konflik</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FIId1</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Pencegahan kekerasan</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Apakah resolusi konflik terkait pengakuan hak masy adat/lokal sudah </w:t>
            </w:r>
            <w:r w:rsidRPr="00437ED9">
              <w:rPr>
                <w:rFonts w:ascii="Times New Roman" w:eastAsia="Times New Roman" w:hAnsi="Times New Roman" w:cs="Times New Roman"/>
                <w:color w:val="000000"/>
                <w:sz w:val="20"/>
                <w:szCs w:val="20"/>
                <w:lang w:eastAsia="id-ID"/>
              </w:rPr>
              <w:lastRenderedPageBreak/>
              <w:t>mencakup pencegahan kekerasan?</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Tidak ada komentar. </w:t>
            </w:r>
          </w:p>
        </w:tc>
        <w:tc>
          <w:tcPr>
            <w:tcW w:w="1382" w:type="dxa"/>
            <w:tcBorders>
              <w:top w:val="nil"/>
              <w:left w:val="nil"/>
              <w:bottom w:val="single" w:sz="4" w:space="0" w:color="auto"/>
              <w:right w:val="single" w:sz="4" w:space="0" w:color="auto"/>
            </w:tcBorders>
            <w:shd w:val="clear" w:color="000000" w:fill="FFFF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51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Tidak didapatkan dokumen  </w:t>
            </w:r>
            <w:r w:rsidRPr="00437ED9">
              <w:rPr>
                <w:rFonts w:ascii="Times New Roman" w:eastAsia="Times New Roman" w:hAnsi="Times New Roman" w:cs="Times New Roman"/>
                <w:color w:val="000000"/>
                <w:sz w:val="20"/>
                <w:szCs w:val="20"/>
                <w:lang w:eastAsia="id-ID"/>
              </w:rPr>
              <w:lastRenderedPageBreak/>
              <w:t>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1</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Konflik yang sampai ke tingkat kekerasan sepertinya belum ada.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Mencegah kekerasan tapi belum dengan regulasi yang jelas.</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FIId2</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Penyelesaian konflik</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Kurang memadai, mekipun ada upaya pemerintah daerah menyelesaikan konflik tersebut</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51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best praktik penyelesaian konflik.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Sudah mencakup penyelesaian konflik, tetapi kurang memadai. Belum dibuka mekanisme yang memungkinkan masyarakat secara mudah megadukan konflik yang mereka alami, sehingga menghasilkan resolusi konflik yang baik juga.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FIId3</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Penerimaan para pihak</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praktik penyelesaian konflik yang dapat dijadikan contoh best praktik.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r>
      <w:tr w:rsidR="00437ED9" w:rsidRPr="00437ED9" w:rsidTr="00437ED9">
        <w:trPr>
          <w:trHeight w:val="51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praktik penyelesaian konflik yang dapat dijadikan contoh best praktik.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praktik penyelesaian konflik yang dapat dijadikan contoh best praktik.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r>
      <w:tr w:rsidR="00437ED9" w:rsidRPr="00437ED9" w:rsidTr="00437ED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FIId4</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Komitmen tetap dijalankan</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Tidak ada komentar.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51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Belum pernah ada mediasi penyelesaian konflik. [Pertanyaan tidak bisa dijawab, karena praktiknya tidak ada, peneliti].  </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  yang relevan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Dijalankan, tetapi tidak dapat menjamin konflik tidak akan terulang lagi di masa mendatang.</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437ED9" w:rsidRPr="00437ED9" w:rsidTr="00437ED9">
        <w:trPr>
          <w:trHeight w:val="255"/>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 Media cetak</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27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FIIe1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Jurnalis</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Kita di Harian Orbit melihat yang dilakukan NGO menarik untuk pemberitaan media. Tetapi pada kasus YLI, media melakukan kritik terhadap lembaga tersebut karena progran kegiatan mereka kurang pro rakyat.  Terhadap masyarakat yang tinggal di kawasan ekosistem Lauser saja mereka kurang perhatikan. Ini yang membuat kita protes sama YLI.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Melalui pemberitaan kita mendorong agar sebelum REDD diimplementasikan, tolong disejahterakan dahulu masyarakatnya. Agar implementornya tidak dikenai sanksi ketika REDD dilaksanakan, sejahterakan dahulu masyarakatnya.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4</w:t>
            </w:r>
          </w:p>
        </w:tc>
      </w:tr>
      <w:tr w:rsidR="00437ED9" w:rsidRPr="00437ED9" w:rsidTr="00437ED9">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FIIe2</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Cakupan berita  mengenai pengakuan pejabat atas hak masyarakat adat</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Jurnalis</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Di AcehTenggara secara formal tidak ada pengakuan terhadap kepemilikan lahan masyarakat adat.  Berita tentang hak-hak masyarakat adat masih belum mendapat porsi yang memadai.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FIIe3</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Posisi berita dalam media cetak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Posisi berita dalam media cetak sudah memadai?</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Jurnalis</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 Letak berita tergantung pada signifikansi isu yang akan dimunculkan. Tidak selalu menjadi headline dan juga terbuka kemungkinan untuk menjadi headline juga. Tergantung pada penilaian tentang nilai isu yang dimuat.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126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FIIe4</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Posisi media dalam pemberitaan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Posisi media dalam pemberitaan sudah memadai?</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Jurnalis</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Media massa atau koran tidak banyak yang baca. Hanya dibaca kelompok tertentu, itu pun jumlahnya sangat terbatas. Media beum memiliki peranan yang memadai, dan belum menjadi sumber informasi bagi masyarakat. Masyarakatnya belum mampu beli koran.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255"/>
        </w:trPr>
        <w:tc>
          <w:tcPr>
            <w:tcW w:w="3265" w:type="dxa"/>
            <w:gridSpan w:val="3"/>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Isu dalam PGA REDD+</w:t>
            </w:r>
          </w:p>
        </w:tc>
        <w:tc>
          <w:tcPr>
            <w:tcW w:w="6238" w:type="dxa"/>
            <w:gridSpan w:val="4"/>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Wawancara – Sumber informasi</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Pengusaha, Organisasi Masyarakat Adat, LSM</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FIIIa1</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 xml:space="preserve">Jumlah biaya transaksi </w:t>
            </w:r>
            <w:r w:rsidRPr="00437ED9">
              <w:rPr>
                <w:rFonts w:ascii="Times New Roman" w:eastAsia="Times New Roman" w:hAnsi="Times New Roman" w:cs="Times New Roman"/>
                <w:sz w:val="20"/>
                <w:szCs w:val="20"/>
                <w:lang w:eastAsia="id-ID"/>
              </w:rPr>
              <w:lastRenderedPageBreak/>
              <w:t xml:space="preserve">pengurusan izin pengelolaan hutan </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 xml:space="preserve">Jumlah biaya transaksi pengurusan </w:t>
            </w:r>
            <w:r w:rsidRPr="00437ED9">
              <w:rPr>
                <w:rFonts w:ascii="Times New Roman" w:eastAsia="Times New Roman" w:hAnsi="Times New Roman" w:cs="Times New Roman"/>
                <w:color w:val="000000"/>
                <w:sz w:val="20"/>
                <w:szCs w:val="20"/>
                <w:lang w:eastAsia="id-ID"/>
              </w:rPr>
              <w:lastRenderedPageBreak/>
              <w:t>izin pengelolaan hutan</w:t>
            </w: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LSM</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Informan tidak menjawab</w:t>
            </w:r>
          </w:p>
        </w:tc>
        <w:tc>
          <w:tcPr>
            <w:tcW w:w="1382" w:type="dxa"/>
            <w:tcBorders>
              <w:top w:val="nil"/>
              <w:left w:val="nil"/>
              <w:bottom w:val="single" w:sz="4" w:space="0" w:color="auto"/>
              <w:right w:val="single" w:sz="4" w:space="0" w:color="auto"/>
            </w:tcBorders>
            <w:shd w:val="clear" w:color="000000" w:fill="FFFF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147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didapatkan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Pertanyaan tidak dijawab, karena tidak ada penerbitan izin di aceh Tenggara. Tidak ada konsesi untuk  kehutanan, perkebunan sawit ataupun pertambangan. Pen.] </w:t>
            </w:r>
          </w:p>
        </w:tc>
        <w:tc>
          <w:tcPr>
            <w:tcW w:w="1382" w:type="dxa"/>
            <w:tcBorders>
              <w:top w:val="nil"/>
              <w:left w:val="nil"/>
              <w:bottom w:val="single" w:sz="4" w:space="0" w:color="auto"/>
              <w:right w:val="single" w:sz="4" w:space="0" w:color="auto"/>
            </w:tcBorders>
            <w:shd w:val="clear" w:color="000000" w:fill="FFFF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69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437ED9">
              <w:rPr>
                <w:rFonts w:ascii="Times New Roman" w:eastAsia="Times New Roman" w:hAnsi="Times New Roman" w:cs="Times New Roman"/>
                <w:b/>
                <w:bCs/>
                <w:color w:val="000000"/>
                <w:sz w:val="20"/>
                <w:szCs w:val="20"/>
                <w:lang w:eastAsia="id-ID"/>
              </w:rPr>
              <w:br/>
              <w:t xml:space="preserve">  pemegang ijin</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Peraturan Prosedur Pelaksanaan Pengurusan Izin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819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FIIIb1</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 xml:space="preserve">Jumlah tahapan dan bentuk persyaratan setiap tahapan dalam pengurusan izin </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Dalam bab 7 naskah Dokumen DPRK AGARA tentang RTRWK disebuhkan sebagaiberikut. Adapun mekanisme perizinan dalam pemanfaatan ruang yang akan diterbitkan atau tidak dengan mengikuti langkah berikut: (a) Pemohon mengajukan permohonan penerbitan perizinan seperti yang dipersyaratkan kepada instansi yang terkait seperti dinas penataan ruang dan permukiman (dinas teknis yang menangani penataan ruang) dengan melengkapi berkas-berkas; (b) Dinas/badan yang </w:t>
            </w:r>
            <w:r w:rsidRPr="00437ED9">
              <w:rPr>
                <w:rFonts w:ascii="Times New Roman" w:eastAsia="Times New Roman" w:hAnsi="Times New Roman" w:cs="Times New Roman"/>
                <w:color w:val="000000"/>
                <w:sz w:val="20"/>
                <w:szCs w:val="20"/>
                <w:lang w:eastAsia="id-ID"/>
              </w:rPr>
              <w:lastRenderedPageBreak/>
              <w:t xml:space="preserve">berwenang akan mempelajari usulan perizinan yang dimohonkan oleh pemohon dengan mempelajari kesesuaian pemanfaatan ruang di dalam dokumen RTRW dan dokumen rencana yang lebih rinci; (c) Jika permohonan yang diajukan sesuai dengan arahan pemanfaatan ruang yang dituangkan dalam RTRW dan dokumen rencana yang lebih rinci maka dinas/badan yang berwenang akan menerbitkan perizinan yang dimohonkan; (d) Jika permohonan yang diajukan tidak sesuai dengan arahan pemanfaatan ruang yang tuangkan dalam RTRW dan dokumen rencana yang lebih rinci maka dinas/ badan yang </w:t>
            </w:r>
            <w:r w:rsidRPr="00437ED9">
              <w:rPr>
                <w:rFonts w:ascii="Times New Roman" w:eastAsia="Times New Roman" w:hAnsi="Times New Roman" w:cs="Times New Roman"/>
                <w:color w:val="000000"/>
                <w:sz w:val="20"/>
                <w:szCs w:val="20"/>
                <w:lang w:eastAsia="id-ID"/>
              </w:rPr>
              <w:lastRenderedPageBreak/>
              <w:t xml:space="preserve">berwenang tidak boleh menerbitkan perizinan yang dimohonkan.  Jika permohonan yang diajukan kurang sesuai dengan arahan pemanfaatan ruang yang dituangkan dalam RTRW dan dokumen rencana yang lebih rinci (dibutuhkan persyaratan teknis khusus) maka dinas/badan yang berwenang akan mengundang anggota Badan Koordinasi Penataan Ruang Daerah untuk dibahas dan memberikan rekomendasi. Jika rekomendasi tersebut memberikan izin maka diterbitkanlah perizinan yang dimohonkan, tetapi jika tidak maka perizinan tidak diterbitkan. Namun jika rekomendasi yang dikeluarkan bersyarat maka harus </w:t>
            </w:r>
            <w:r w:rsidRPr="00437ED9">
              <w:rPr>
                <w:rFonts w:ascii="Times New Roman" w:eastAsia="Times New Roman" w:hAnsi="Times New Roman" w:cs="Times New Roman"/>
                <w:color w:val="000000"/>
                <w:sz w:val="20"/>
                <w:szCs w:val="20"/>
                <w:lang w:eastAsia="id-ID"/>
              </w:rPr>
              <w:lastRenderedPageBreak/>
              <w:t>dibicarakan ulang kepada pihak pemohon apakah bisa mengikuti atau tidak. Jika bisa maka izin diterbitkan dan jika tidak maka izin tidak diterbitkan.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lastRenderedPageBreak/>
              <w:t>3</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BPN</w:t>
            </w:r>
          </w:p>
        </w:tc>
        <w:tc>
          <w:tcPr>
            <w:tcW w:w="1269"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303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Dinas Pertanian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Persyarakan dalam pengurusan izin cukup sesuai, meski pemerintah daerah tidak ada mengeluarkan izin untuk pemanfaatan hutan di kawasan produksi. Tidak ada perkebunan sawit ada pengauasaan hutan tanaman industri di Aceh Tenggara</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c>
          <w:tcPr>
            <w:tcW w:w="2694"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255"/>
        </w:trPr>
        <w:tc>
          <w:tcPr>
            <w:tcW w:w="3265" w:type="dxa"/>
            <w:gridSpan w:val="3"/>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Isu dalam PGA REDD+</w:t>
            </w:r>
          </w:p>
        </w:tc>
        <w:tc>
          <w:tcPr>
            <w:tcW w:w="6238" w:type="dxa"/>
            <w:gridSpan w:val="4"/>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63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437ED9">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240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FIVa1</w:t>
            </w:r>
          </w:p>
        </w:tc>
        <w:tc>
          <w:tcPr>
            <w:tcW w:w="1098"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453" w:type="dxa"/>
            <w:vMerge w:val="restart"/>
            <w:tcBorders>
              <w:top w:val="nil"/>
              <w:left w:val="single" w:sz="4" w:space="0" w:color="auto"/>
              <w:bottom w:val="single" w:sz="4" w:space="0" w:color="000000"/>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ditemukan keputusan Bupati/ SK Pupati datau Peraturan Daerah yang memberi kewenangan pada masyarakat lokal/adat mengelola hutan sendiri.</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Kurang memadai. Selama ini belum ada masyarakat lokal yang secara faktual dan legalmengelola hutan, yang ada adalah lahan-lahan untk pemukiman dan perkebunan warga secara individual.</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255"/>
        </w:trPr>
        <w:tc>
          <w:tcPr>
            <w:tcW w:w="714"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BPN</w:t>
            </w:r>
          </w:p>
        </w:tc>
        <w:tc>
          <w:tcPr>
            <w:tcW w:w="1269"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510"/>
        </w:trPr>
        <w:tc>
          <w:tcPr>
            <w:tcW w:w="714"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Dinas Pertanian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pengaduan masyarakat</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32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FIVb1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Berdasarkan SK Gubernur No 19 Tahun 1999 Tanggal 19 Mei 1999, jumlah kawasan lindung di Aceh Tenggara 96.619.190 Ha; sementara jumlah kawasan hutan konservasi sebesar 280.160.940 Ha. Tapi jumlah ini berdasarkan Qanun No 1 Tahun 2010 tentang RTRWK dikurangi. </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4</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Aceh Tenggara sebagian besarnya merupakan kawasan hutan konservasi dan hutan lindung. Ini lebih dari dua pertiga dari total kawasan di Aceh Tenggara.</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4</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c. Persentase hutan yang memiliki pengelola (KPH)</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Kementerian Kehutanan &amp; Dinas Kehutanan (Provinsi &amp; Kabupaten)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FIVc1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Persentase hutan yang memiliki pengelola (KPH)</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FIVd1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 xml:space="preserve">Jumlah pengelolaan hutan berbasis ecological services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255"/>
        </w:trPr>
        <w:tc>
          <w:tcPr>
            <w:tcW w:w="3265" w:type="dxa"/>
            <w:gridSpan w:val="3"/>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Isu dalam PGA REDD+</w:t>
            </w:r>
          </w:p>
        </w:tc>
        <w:tc>
          <w:tcPr>
            <w:tcW w:w="6238" w:type="dxa"/>
            <w:gridSpan w:val="4"/>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Laporan Inspektorat, BPKP &amp; BPK, Bawasda</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FVa1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 xml:space="preserve">Jumlah pelanggaran pengguna-an anggaran di tingkat provinsi dan kab/kota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BPK, BAWASDA, INSPEKTORAT</w:t>
            </w:r>
          </w:p>
        </w:tc>
        <w:tc>
          <w:tcPr>
            <w:tcW w:w="1269"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Kementrian &amp; Dinas Kehutanan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FVb1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Jumlah sanksi administratif serius (pencabutan izin, dan denda, yang telah dijatuhkan)</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pemberian izin, dan karena itu tidak ada pencabuta izin.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5</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Kepolisian (Nasional &amp; Daerah)</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25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FVc1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 xml:space="preserve">Jumlah kasus pidana kehutanan yang diajukan/diproses oleh polisi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Polres</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Jumlah kasus rendah. Berdasarkan data reksrim Tahun 2012, hanya lima kasus. Berdasarkan wasancara kapolres, data pelanggaran kehutanan yang diproses di kepolisian Aceh tenggara selama 2012 ada 5 kasus</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585"/>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437ED9">
              <w:rPr>
                <w:rFonts w:ascii="Times New Roman" w:eastAsia="Times New Roman" w:hAnsi="Times New Roman" w:cs="Times New Roman"/>
                <w:b/>
                <w:bCs/>
                <w:color w:val="000000"/>
                <w:sz w:val="20"/>
                <w:szCs w:val="20"/>
                <w:lang w:eastAsia="id-ID"/>
              </w:rPr>
              <w:br/>
              <w:t xml:space="preserve">  diputuskan oleh MA</w:t>
            </w:r>
            <w:r w:rsidRPr="00437ED9">
              <w:rPr>
                <w:rFonts w:ascii="Times New Roman" w:eastAsia="Times New Roman" w:hAnsi="Times New Roman" w:cs="Times New Roman"/>
                <w:b/>
                <w:bCs/>
                <w:color w:val="000000"/>
                <w:sz w:val="20"/>
                <w:szCs w:val="20"/>
                <w:lang w:eastAsia="id-ID"/>
              </w:rPr>
              <w:br/>
              <w:t xml:space="preserve"> </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Kepolisian (Nasional &amp; Daerah)</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228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FVd1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Polres</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Berdasarkan data reskrim, data yang diajukan ke pengadilan semuanya diproses. Berdasarkan wasancara kapolres, data pelanggaran kehutanan yang diproses di kepolisian Aceh tenggara selama 2012 ada 5 kasus</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e. Index integritas KPK sektor kehutanan</w:t>
            </w:r>
            <w:r w:rsidRPr="00437ED9">
              <w:rPr>
                <w:rFonts w:ascii="Times New Roman" w:eastAsia="Times New Roman" w:hAnsi="Times New Roman" w:cs="Times New Roman"/>
                <w:b/>
                <w:bCs/>
                <w:color w:val="000000"/>
                <w:sz w:val="20"/>
                <w:szCs w:val="20"/>
                <w:lang w:eastAsia="id-ID"/>
              </w:rPr>
              <w:br/>
              <w:t xml:space="preserve"> </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Hasil Survai KPK tentang Integritas</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FVe1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Index integritas KPK sektor kehutanan</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KPK &amp; TII</w:t>
            </w:r>
          </w:p>
        </w:tc>
        <w:tc>
          <w:tcPr>
            <w:tcW w:w="1269"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f. Index persepsi korupsi di lokasi assesmen (TII)</w:t>
            </w:r>
            <w:r w:rsidRPr="00437ED9">
              <w:rPr>
                <w:rFonts w:ascii="Times New Roman" w:eastAsia="Times New Roman" w:hAnsi="Times New Roman" w:cs="Times New Roman"/>
                <w:b/>
                <w:bCs/>
                <w:color w:val="000000"/>
                <w:sz w:val="20"/>
                <w:szCs w:val="20"/>
                <w:lang w:eastAsia="id-ID"/>
              </w:rPr>
              <w:br/>
            </w:r>
            <w:r w:rsidRPr="00437ED9">
              <w:rPr>
                <w:rFonts w:ascii="Times New Roman" w:eastAsia="Times New Roman" w:hAnsi="Times New Roman" w:cs="Times New Roman"/>
                <w:b/>
                <w:bCs/>
                <w:color w:val="000000"/>
                <w:sz w:val="20"/>
                <w:szCs w:val="20"/>
                <w:lang w:eastAsia="id-ID"/>
              </w:rPr>
              <w:br/>
            </w:r>
            <w:r w:rsidRPr="00437ED9">
              <w:rPr>
                <w:rFonts w:ascii="Times New Roman" w:eastAsia="Times New Roman" w:hAnsi="Times New Roman" w:cs="Times New Roman"/>
                <w:b/>
                <w:bCs/>
                <w:color w:val="000000"/>
                <w:sz w:val="20"/>
                <w:szCs w:val="20"/>
                <w:lang w:eastAsia="id-ID"/>
              </w:rPr>
              <w:br/>
              <w:t xml:space="preserve"> </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Hasil Survai Persepsi Transparansi Internasional Indonesia (TII)</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FVf1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 xml:space="preserve">Index persepsi korupsi di lokasi assesmen (TII)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KPK &amp; TII</w:t>
            </w:r>
          </w:p>
        </w:tc>
        <w:tc>
          <w:tcPr>
            <w:tcW w:w="1269"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615"/>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437ED9">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437ED9">
              <w:rPr>
                <w:rFonts w:ascii="Times New Roman" w:eastAsia="Times New Roman" w:hAnsi="Times New Roman" w:cs="Times New Roman"/>
                <w:b/>
                <w:bCs/>
                <w:color w:val="000000"/>
                <w:sz w:val="20"/>
                <w:szCs w:val="20"/>
                <w:lang w:eastAsia="id-ID"/>
              </w:rPr>
              <w:br/>
            </w:r>
            <w:r w:rsidRPr="00437ED9">
              <w:rPr>
                <w:rFonts w:ascii="Times New Roman" w:eastAsia="Times New Roman" w:hAnsi="Times New Roman" w:cs="Times New Roman"/>
                <w:b/>
                <w:bCs/>
                <w:color w:val="000000"/>
                <w:sz w:val="20"/>
                <w:szCs w:val="20"/>
                <w:lang w:eastAsia="id-ID"/>
              </w:rPr>
              <w:br/>
            </w:r>
            <w:r w:rsidRPr="00437ED9">
              <w:rPr>
                <w:rFonts w:ascii="Times New Roman" w:eastAsia="Times New Roman" w:hAnsi="Times New Roman" w:cs="Times New Roman"/>
                <w:b/>
                <w:bCs/>
                <w:color w:val="000000"/>
                <w:sz w:val="20"/>
                <w:szCs w:val="20"/>
                <w:lang w:eastAsia="id-ID"/>
              </w:rPr>
              <w:br/>
            </w:r>
            <w:r w:rsidRPr="00437ED9">
              <w:rPr>
                <w:rFonts w:ascii="Times New Roman" w:eastAsia="Times New Roman" w:hAnsi="Times New Roman" w:cs="Times New Roman"/>
                <w:b/>
                <w:bCs/>
                <w:color w:val="000000"/>
                <w:sz w:val="20"/>
                <w:szCs w:val="20"/>
                <w:lang w:eastAsia="id-ID"/>
              </w:rPr>
              <w:br/>
              <w:t xml:space="preserve"> </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Laporan BPK</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FVg1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BPK, BAWASDA, INSPEKTORAT</w:t>
            </w:r>
          </w:p>
        </w:tc>
        <w:tc>
          <w:tcPr>
            <w:tcW w:w="1269"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h. Jumlah pengaduan masyarakat tentang kinerja pengelolaan hutan</w:t>
            </w:r>
            <w:r w:rsidRPr="00437ED9">
              <w:rPr>
                <w:rFonts w:ascii="Times New Roman" w:eastAsia="Times New Roman" w:hAnsi="Times New Roman" w:cs="Times New Roman"/>
                <w:b/>
                <w:bCs/>
                <w:color w:val="000000"/>
                <w:sz w:val="20"/>
                <w:szCs w:val="20"/>
                <w:lang w:eastAsia="id-ID"/>
              </w:rPr>
              <w:br/>
            </w:r>
            <w:r w:rsidRPr="00437ED9">
              <w:rPr>
                <w:rFonts w:ascii="Times New Roman" w:eastAsia="Times New Roman" w:hAnsi="Times New Roman" w:cs="Times New Roman"/>
                <w:b/>
                <w:bCs/>
                <w:color w:val="000000"/>
                <w:sz w:val="20"/>
                <w:szCs w:val="20"/>
                <w:lang w:eastAsia="id-ID"/>
              </w:rPr>
              <w:br/>
            </w:r>
            <w:r w:rsidRPr="00437ED9">
              <w:rPr>
                <w:rFonts w:ascii="Times New Roman" w:eastAsia="Times New Roman" w:hAnsi="Times New Roman" w:cs="Times New Roman"/>
                <w:b/>
                <w:bCs/>
                <w:color w:val="000000"/>
                <w:sz w:val="20"/>
                <w:szCs w:val="20"/>
                <w:lang w:eastAsia="id-ID"/>
              </w:rPr>
              <w:br/>
            </w:r>
            <w:r w:rsidRPr="00437ED9">
              <w:rPr>
                <w:rFonts w:ascii="Times New Roman" w:eastAsia="Times New Roman" w:hAnsi="Times New Roman" w:cs="Times New Roman"/>
                <w:b/>
                <w:bCs/>
                <w:color w:val="000000"/>
                <w:sz w:val="20"/>
                <w:szCs w:val="20"/>
                <w:lang w:eastAsia="id-ID"/>
              </w:rPr>
              <w:br/>
              <w:t xml:space="preserve"> </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Kementerian &amp; Dinas Kehutanan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FVh1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r w:rsidRPr="00437ED9">
              <w:rPr>
                <w:rFonts w:ascii="Times New Roman" w:eastAsia="Times New Roman" w:hAnsi="Times New Roman" w:cs="Times New Roman"/>
                <w:sz w:val="20"/>
                <w:szCs w:val="20"/>
                <w:lang w:eastAsia="id-ID"/>
              </w:rPr>
              <w:t xml:space="preserve">Jumlah pengaduan masyarakat tentang kinerja pengelolaan hutan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pengaduan masyarakat</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5</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Berdasarkan wawancara dengan Azen Kurnia, dikatakan bahwa tidak ada pengeduan tentang kinerja pengelolaan hutan</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sz w:val="20"/>
                <w:szCs w:val="20"/>
                <w:lang w:eastAsia="id-ID"/>
              </w:rPr>
            </w:pPr>
          </w:p>
        </w:tc>
        <w:tc>
          <w:tcPr>
            <w:tcW w:w="1098"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255"/>
        </w:trPr>
        <w:tc>
          <w:tcPr>
            <w:tcW w:w="3265" w:type="dxa"/>
            <w:gridSpan w:val="3"/>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Isu dalam PGA REDD+</w:t>
            </w:r>
          </w:p>
        </w:tc>
        <w:tc>
          <w:tcPr>
            <w:tcW w:w="6238" w:type="dxa"/>
            <w:gridSpan w:val="4"/>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informasi</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FVIa1</w:t>
            </w:r>
          </w:p>
        </w:tc>
        <w:tc>
          <w:tcPr>
            <w:tcW w:w="1098"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112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Satgas REDD+</w:t>
            </w:r>
          </w:p>
        </w:tc>
        <w:tc>
          <w:tcPr>
            <w:tcW w:w="1269"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F2DDDC"/>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b. Tingkat penerimaan Strategi REDD+ oleh para aktor</w:t>
            </w:r>
            <w:r w:rsidRPr="00437ED9">
              <w:rPr>
                <w:rFonts w:ascii="Times New Roman" w:eastAsia="Times New Roman" w:hAnsi="Times New Roman" w:cs="Times New Roman"/>
                <w:b/>
                <w:bCs/>
                <w:color w:val="000000"/>
                <w:sz w:val="20"/>
                <w:szCs w:val="20"/>
                <w:lang w:eastAsia="id-ID"/>
              </w:rPr>
              <w:br/>
            </w:r>
          </w:p>
        </w:tc>
      </w:tr>
      <w:tr w:rsidR="00437ED9" w:rsidRPr="00437ED9" w:rsidTr="00437ED9">
        <w:trPr>
          <w:trHeight w:val="66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informasi</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631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FVIb1</w:t>
            </w:r>
          </w:p>
        </w:tc>
        <w:tc>
          <w:tcPr>
            <w:tcW w:w="109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Bagaimana penerimaan Strate-gi REDD+ oleh para aktor?</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REDD+ cukup diterima para aktor, tetapi di daerah memang masih banyak yang belum mengetahui tentang apa itu REDD+.  Masyarakat mengaku selama ini mereka telah menjaga hutan. Tapi tidak ada kompensasi yang mereka dapatkan dan tidak yakin bahwa kompensasi sebagaimana yang ditawarkan itu akan sampai ke masyarakat, karena  kemungkinan besar akan lebih banyak terserap di pusat.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REDD+  juga harus mempertimbangkan kekhasan kebudayaan lokal. Jangan karena REDD+ orang justru tidak dapat membangun mesjid, karena dilarang menebang kayu. </w:t>
            </w:r>
            <w:r w:rsidRPr="00437ED9">
              <w:rPr>
                <w:rFonts w:ascii="Times New Roman" w:eastAsia="Times New Roman" w:hAnsi="Times New Roman" w:cs="Times New Roman"/>
                <w:color w:val="000000"/>
                <w:sz w:val="20"/>
                <w:szCs w:val="20"/>
                <w:lang w:eastAsia="id-ID"/>
              </w:rPr>
              <w:br/>
            </w:r>
            <w:r w:rsidRPr="00437ED9">
              <w:rPr>
                <w:rFonts w:ascii="Times New Roman" w:eastAsia="Times New Roman" w:hAnsi="Times New Roman" w:cs="Times New Roman"/>
                <w:color w:val="000000"/>
                <w:sz w:val="20"/>
                <w:szCs w:val="20"/>
                <w:lang w:eastAsia="id-ID"/>
              </w:rPr>
              <w:br/>
              <w:t xml:space="preserve">Dalam rapat-rapat yang dilakukan di propinsi atau di tempat-tempat lain, Kepala Dinas kehutanan dan  perkebunan Aceh tenggara, Ishak Buhairi, mengaku sering menyampaikan kenapa  di tempat lain seperti Papua yang hutannya gundul mendapat bantuan. Tapi kami yang yang menjaga hutan kami, tanaman kami, ternyata tidak mendapat kompensasi. Kita menyadari kalau pemerintah tidak melakukan apa-apa maka masyarakat yang berada di sekitar kawasan hutan lindung tidak dapat dipersalahkan ketika mereka merambah hutan. Untuk mengurangi perambahan hutan oleh masyarakat di sekitar hutan, maka sebaiknya memberikan pekerjaan untuk masyarakat. Pemerintah juga hendaknya melakukan kapacity building tentang bagaimana memelihara hutan di satu pihak, dan meningkatkan kapasitas masyarakat dalam mendapatkan akses ekonomi dari non hutan.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r>
      <w:tr w:rsidR="00437ED9" w:rsidRPr="00437ED9" w:rsidTr="00437ED9">
        <w:trPr>
          <w:trHeight w:val="348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Bappeda</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Pada prisnsipnya masyarakat di Aceh Tenggara ini menginginkan hutan ini utuh. Kalau pemerintah ingin mendukung program ini (REDD) maka kami juga sangat mendukung. Saat ini REDD itu masyarakat dilarang menebang hutan, tapi solusi tidak diberikan untuk masyarakat. Mestinya, ada juga dibuat peraturan yang masyarakat dipinggiran hutan itu mendapat kompensasi akibat mereka tidak menebang hutan. Itu yang harus dipikirkan, kalau REDD mau dijalankan. Tapi kalau hanya dilarang, mana bisa jalan. Karena masyarakat di Aceh Tenggara didaklagi ada lahan. Apa yang harus dilakukan sebagai kompensasi ini harus didasarkan pada potensi alam yang ada di Aceh Tenggara untuk dikembangkan masyarakat. Misalnya dengan pembuatan pabrik mineral untuk masyarakat, ada program lainnya. REDD boleh diimplementasikan asal paradigmanya manusianya yang dikedepankan. Bukan hewannya atau hutannya yang dikedepankan.</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r>
      <w:tr w:rsidR="00437ED9" w:rsidRPr="00437ED9" w:rsidTr="00437ED9">
        <w:trPr>
          <w:trHeight w:val="322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Carbon Trade bagi masyarakat di Aceh Tenggara itu hanya mimpi.  Belum banyak sosialisasi, jadi masyarakat belum bisa menentukan apakah menarima atau tidak. Saya melihat bahwa kita ini belum ada bendanya sudah ribut duluan. Karena kalau bukan TNGL, hutan di Aceh Tenggara sudah di hitung jumlah simpanan karbonnya. Diisukan akan ada pihak internasional yang bayar. Kalau sudah dibayar, siapa nanti yang akan mengelola. Terjadi rebutan antara pusat, propinsi dan kabupaten. Kalau ini yang terjadi, maka yang perlu dibenahi adalah keseriusan penerimanya, juga pemberinya. Aceh itu berbeda dengan daerah lain, kalau di belakangnya ada Israil, orang aceh lebih mau mati daripada menerima bantuan Israil. Tidak ada kejelasan masyarakat akan mendapat apa kalau mereka mengawetkan hutan.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Kurang diterima karena belum ada penjelasan tentang REDD. Saat ini masih melihat dan menunggu (wait and see)</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FVIb2</w:t>
            </w:r>
          </w:p>
        </w:tc>
        <w:tc>
          <w:tcPr>
            <w:tcW w:w="109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Kelembagaan REDD+ sudah memadai?</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memadai. KPH tidak ada. Satgas REDD Tdah ada. Belum ada demonstrasi REDD</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372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Bappeda</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KPH (Kesatuan Pengelola Hutan) atapun Satgas REDD belum perlu dibentuk, karena itu tidak ada manfaatnya. Karena kita bentuk tim, kita membentuk relawan,  lalu kita minta orang jaga hutan, kita keluarkan anggaran, orang yang jaga ditempatkan dipos-pos, lalu saudara-saudaranya yang mau ambil kayu dipersilahkan, tapi yang orang lain baru di larang. Itu yang tidak kita inginkan. Sebab apa, kalau di sini kita kenal semua, saudara semua, karena itu kalaupun dibentuk satgas REDD, maka itu tidak akan bisa jalan. Karena semua orang di sini punya hubungan saudara satu sama lain. Kalau rekrut tim, maka dia punya saudara dan saudaranya itu pasti akan dibolehkan dia nebang hutan. Tapi kalau masyarakat kesadaran pendidikan dan kesejahteraannya ekonomi sudah baik, itu mungkin bisa dijalankan. Tapi, kalau yang disuruh jaga hutan itu masyarakat adat, atau melalui kemukiman, oang akan lebih takut, mungkin itu akan lebih diikuti orang dibandingkan dengan yang model Satgas REDD tersebut</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3</w:t>
            </w:r>
          </w:p>
        </w:tc>
      </w:tr>
      <w:tr w:rsidR="00437ED9" w:rsidRPr="00437ED9" w:rsidTr="00437ED9">
        <w:trPr>
          <w:trHeight w:val="175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Kita tidak ada keperluan membentuk Satgas, tetapi bagi kita pelestarian lingkungan hutan itu merupakan harga mati yang tidak dapat ditawar-tawar.  Karena masyarakat sangat menggantungkan hidup dengan hutan. Kalau saja banjir terjadi, berapa investasi yang harus hilang, dan kerugian yang kami alami. Terkstur sungai juga berbeda dengan tertur sungai di Ach di tempat lain,jadiperlu perlakuan khusus dalam menyelesaikan persoalan sungai.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Belum memadai. Tidak ada KPH, tidak ada satgas REDD, dan lembaga lain yang dipersiapkan mengurus persiapan REDD</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FVIb3</w:t>
            </w:r>
          </w:p>
        </w:tc>
        <w:tc>
          <w:tcPr>
            <w:tcW w:w="109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Kerangka Pengaman sudah memadai?</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Belum memadai, masyarakat masih miskin, dan belum memiliki akses ekonomi yang tidak bergantung pada lahan dan hutan</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693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Bappeda</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Terkait dengan CO2. Terlalu banyak pengisapan karbon, maka banyak negara membantu kita untuk mengurangi emisi karbon. Tapi saya minta, tolong Pak, dinasihatin dulu lah orang-orang yang di negera industri itu, seperti Jepang, Amerika, Eropa, karena mereka itu yang punya ulah. Mereka hancurkan hutan mereka sendiri, mereka bikin industri, lalu kita disuruh jaga hutan. Tapi malahnya kan rakyat kita sendiri yang jadi mati kelaparan, sementara mereka enak-enak saja menikmati industri. Kenapa negara berembang diminta memelihara alam, sementara mereka menghabisi hutan. Kalau terkait ekonomi, di Aceh Tenggara ini kan dikelilingi gunung, dan dibatasi dengan TNGL dan Hutan Lindung. Masyarakat kita ini terus bertambah, sementara lahan kita terbatas. Mau tidak mau mereka tetap merambah kawasan di hutan lindung. Itu mereka hanya untuk bertahan hidup. Terkecuali, ada dari cO2 aksinya kepada masyarakat di sekitar gunung. Kalau kita tekankan ke masyarakat untuk mereka tidak menebang hutan, agar mereka tidak merambah hutan, kita bisasaja lakukan itu. Tapi dari mana mereka bisa dapat makan. Bagiamana konsepnya ada memberi masukan PAD kepada daerah. Padahal kalau hutan-hutan di sini kita tanami sawit masyarakat, kan masyarakat sendiri yang untung. Negara-negara Eropa ini kan nakal hutan mereka dihabisi sendisi. Lalu ketika ada dampaknya dari penebangan hutan yang mereka lakukan, mereka larang-larang kita menebang hutan. Kenapa merea tidak menanam hutan sendiri untuk mereka. Biar di Amerika itu ada hutan kayak kita di sini. Kenapa kita harus mikirin Eropa, sementara kita sehari-hari untuk makan saja sudah berat. Mereka enak-enak saja makan. Ini yang kita rasakan tidak adil dunia ini. Memang kita harus pikirkan agar bagaimana masyarakat yang di sana itu tidakmerambah lagi. kita sedang mencai cara agar perambahan hutan tidak lagi meluas.</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153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Kerangka pengaman belum memadai. Yang paling mendesak untuk dilakukan adalah tata kelolanya, Yang kedua arti dari pengawetan hutan perlu dirumuskan kembali, yang ketika masyarakat jangan dilarang mengakses hutan untuk kepentingan ekonomi pribadi mereka.  Peningkatan kesejahteraan masyarakat dikawasan hutan itu perlu dilakukan terlebih dahulu sebelum REDD diimplementasikan.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kepastian tengtang hak-hak masyarakat adat dalam skema REDD yang hendak dijalankan</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FVIb4</w:t>
            </w:r>
          </w:p>
        </w:tc>
        <w:tc>
          <w:tcPr>
            <w:tcW w:w="109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453" w:type="dxa"/>
            <w:vMerge w:val="restart"/>
            <w:tcBorders>
              <w:top w:val="nil"/>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Apakah (mekanisme) MRV sudah memadai?</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Belum dilakukan MRV yang khusus tentang respon terhadap REDD</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655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Bappeda</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Kalau kita analisa, perusakan hutan di Aceh Tenggara ini karena masyarakat tidak memiliki akses ekonomi. Padahal, kalau akses jalan dibuka, ada beberapa keuntungan: tranportasi lancar, perekonomian masyarakat pasti akan cepat meningkat. Sekarang orang ke Medan butuh 8 jam. Padahal, kalau akses itu dibuka, masyarakat kita yang nanam cabe, kalau dijual ke Medan, cabenya masih segar. Karena kalau dibuka, kita hanya perlu 3 jam saja untuk sampai ke Bahorok (Medan). Ini akan sangat menguntungkan bagi Kutacane (Aceh Tenggara). Jalan Kuta Cane – Bahorok dan Kutacane – Babussalam merupakan jalan sejarah. Dahulu, pada masa perang Indonesia – Belanda, jalan ini sudah di bukan. Pada masa Hindia Belanda daerah situ perkebunan. Akibat Aceh Tenggara kelaparan pada masa dahulu, karena musim kemarau panjang, masyarakat di Aceh Tenggara membuat jalan setapak menuju Bahorok. Begitu juga jalan yang menuju Babussalam, itu dahulu Subihi namanya,  waktu dulu orang orang dari Subulussalam berjalan menuju sini. Ini dua jalan yang dibuat masyarakat untuk merespon perang dengan Belanda yang waktu itu sedang terjadi. Tapi karena YLI (Yayasan Lauser Internastional) tidak membaca sejarah, dan tidak tahu sejarah, maka dia tidak setuju itu dengan pembukaan jalan. Dia masukkan itu dalam kawasan KEL (Kawasan Ekosistem Lauser). Banyak bukti yang menunjukkan itu jalan yang bersejarah, banyak orang di Kutacane sekarang ini adalah keturunan dari orang Subulussalam, begitu juga sebaliknya. Begitu juga di Bahorok,sekarang banyak orang-orang Kutacane. Itu mereka sampai situ ewat jalan setapak yang dibuat zaman perang dengan Belanda tadi. Jarak Kutacane – Bahorok kalau berhasil dibuka, maka jaraknya sekitar 30 KM saja.</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2130"/>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LSM</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nil"/>
              <w:left w:val="nil"/>
              <w:bottom w:val="nil"/>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Pemerintah daerah belum melakukan sesuatu yang terkait dengan REDD. Ada NGO di Aceh yang ngomong-ngomong REDD+, tapi mereka baru ngomong ke pemerintah, belum ke masyarakat.  Masyarakat masih miskin, tidak ada kerangka pengaman yang memadai kalau kemiskinan belum diselesaikan. Masyarakat membutuhkan lahan pertanian untuk hidup, di sini kondisinya lahan sangat terbatas, karena semua kawasan menjadi KEL (Kawasan Ekosistem Lauser) atau kawasan konsesi.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r>
      <w:tr w:rsidR="00437ED9" w:rsidRPr="00437ED9" w:rsidTr="00437ED9">
        <w:trPr>
          <w:trHeight w:val="765"/>
        </w:trPr>
        <w:tc>
          <w:tcPr>
            <w:tcW w:w="714"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098" w:type="dxa"/>
            <w:vMerge/>
            <w:tcBorders>
              <w:top w:val="nil"/>
              <w:left w:val="single" w:sz="4" w:space="0" w:color="auto"/>
              <w:bottom w:val="single" w:sz="4" w:space="0" w:color="000000"/>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auto"/>
              <w:right w:val="single" w:sz="4" w:space="0" w:color="auto"/>
            </w:tcBorders>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Organisasi Masyarakat Adat Lokal</w:t>
            </w:r>
          </w:p>
        </w:tc>
        <w:tc>
          <w:tcPr>
            <w:tcW w:w="1269"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40"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Tidak ada mekanisma MRV untuk implementasi REDD, mungkin belum dijalankan. </w:t>
            </w:r>
          </w:p>
        </w:tc>
        <w:tc>
          <w:tcPr>
            <w:tcW w:w="1382" w:type="dxa"/>
            <w:tcBorders>
              <w:top w:val="nil"/>
              <w:left w:val="nil"/>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c. Tingkat deforestasi di lokasi assesmen</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informasi</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Kementerian &amp; Dinas Kehutanan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30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FVIc1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Tingkat deforestasi di lokasi assesmen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Data Perambahan kawasan hutan lindung di Aceh Tenggara: Tahun 2006 sebanya 19165 Ha; tahun 2007 sebanyak 21.009 Ha; tahun 2008 sebanyak 23.067 Ha (Data Dinas Kehutanan ditandatangani Kadis Kehutanan Ir. Muhammad Sragafa MA, 29 Juni 2009)</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d. Tingkat degradasi hutan di lokasi assesmen</w:t>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informasi</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Kementerian &amp; Dinas Kehutanan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514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FVId1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Tingkat degradasi hutan di lokasi assesmen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Data kawasan yang diindikasikan kritis yang merupakan semak belukar, lahan terbuka, pertaian lahan kering bercampur semak selama 2006 sebanya 4272 Ha, selama 2007 sebanyak 4492 Ha, selama 2008 sebanyak 5077 Ha [data perkiraan]. sedangkan lahan kritis dengan status hutan lahan kering sekunder sebanyak 17.560 Ha (tahun 2006); 20.600 Ha (tahun 2007), dan 23.453 Ha (2008).  (Data Dinas Kehutanan ditandatangani Kadis Kehutanan Ir. Muhammad Sragafa MA, 29 Juni 2009)</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2</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r w:rsidR="00437ED9" w:rsidRPr="00437ED9" w:rsidTr="00437ED9">
        <w:trPr>
          <w:trHeight w:val="255"/>
        </w:trPr>
        <w:tc>
          <w:tcPr>
            <w:tcW w:w="71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098"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135"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269"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1140"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c>
          <w:tcPr>
            <w:tcW w:w="2694"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p>
        </w:tc>
      </w:tr>
      <w:tr w:rsidR="00437ED9" w:rsidRPr="00437ED9" w:rsidTr="00437ED9">
        <w:trPr>
          <w:trHeight w:val="6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Indikator</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p>
        </w:tc>
        <w:tc>
          <w:tcPr>
            <w:tcW w:w="7620" w:type="dxa"/>
            <w:gridSpan w:val="5"/>
            <w:tcBorders>
              <w:top w:val="nil"/>
              <w:left w:val="nil"/>
              <w:bottom w:val="nil"/>
              <w:right w:val="nil"/>
            </w:tcBorders>
            <w:shd w:val="clear" w:color="auto" w:fill="auto"/>
            <w:vAlign w:val="center"/>
            <w:hideMark/>
          </w:tcPr>
          <w:p w:rsidR="00437ED9" w:rsidRPr="00437ED9" w:rsidRDefault="00437ED9" w:rsidP="00437ED9">
            <w:pPr>
              <w:spacing w:after="24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437ED9">
              <w:rPr>
                <w:rFonts w:ascii="Times New Roman" w:eastAsia="Times New Roman" w:hAnsi="Times New Roman" w:cs="Times New Roman"/>
                <w:b/>
                <w:bCs/>
                <w:color w:val="000000"/>
                <w:sz w:val="20"/>
                <w:szCs w:val="20"/>
                <w:lang w:eastAsia="id-ID"/>
              </w:rPr>
              <w:br/>
              <w:t xml:space="preserve">  REDD+ (demonstration ativities)</w:t>
            </w:r>
            <w:r w:rsidRPr="00437ED9">
              <w:rPr>
                <w:rFonts w:ascii="Times New Roman" w:eastAsia="Times New Roman" w:hAnsi="Times New Roman" w:cs="Times New Roman"/>
                <w:b/>
                <w:bCs/>
                <w:color w:val="000000"/>
                <w:sz w:val="20"/>
                <w:szCs w:val="20"/>
                <w:lang w:eastAsia="id-ID"/>
              </w:rPr>
              <w:br/>
            </w:r>
          </w:p>
        </w:tc>
      </w:tr>
      <w:tr w:rsidR="00437ED9" w:rsidRPr="00437ED9" w:rsidTr="00437ED9">
        <w:trPr>
          <w:trHeight w:val="300"/>
        </w:trPr>
        <w:tc>
          <w:tcPr>
            <w:tcW w:w="1812" w:type="dxa"/>
            <w:gridSpan w:val="2"/>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informasi</w:t>
            </w:r>
          </w:p>
        </w:tc>
        <w:tc>
          <w:tcPr>
            <w:tcW w:w="1453" w:type="dxa"/>
            <w:tcBorders>
              <w:top w:val="nil"/>
              <w:left w:val="nil"/>
              <w:bottom w:val="nil"/>
              <w:right w:val="nil"/>
            </w:tcBorders>
            <w:shd w:val="clear" w:color="auto" w:fill="auto"/>
            <w:noWrap/>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p>
        </w:tc>
        <w:tc>
          <w:tcPr>
            <w:tcW w:w="7620" w:type="dxa"/>
            <w:gridSpan w:val="5"/>
            <w:tcBorders>
              <w:top w:val="nil"/>
              <w:left w:val="nil"/>
              <w:bottom w:val="single" w:sz="4" w:space="0" w:color="auto"/>
              <w:right w:val="nil"/>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 Kementerian &amp; Dinas Kehutanan</w:t>
            </w:r>
          </w:p>
        </w:tc>
      </w:tr>
      <w:tr w:rsidR="00437ED9" w:rsidRPr="00437ED9" w:rsidTr="00437ED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Kode</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Panduan Analisis Dokumen</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Pertanyaan Wawancara</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Sumber Data</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Dokumen</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Dokumen</w:t>
            </w:r>
          </w:p>
        </w:tc>
        <w:tc>
          <w:tcPr>
            <w:tcW w:w="2694"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b/>
                <w:bCs/>
                <w:color w:val="000000"/>
                <w:sz w:val="20"/>
                <w:szCs w:val="20"/>
                <w:lang w:eastAsia="id-ID"/>
              </w:rPr>
            </w:pPr>
            <w:r w:rsidRPr="00437ED9">
              <w:rPr>
                <w:rFonts w:ascii="Times New Roman" w:eastAsia="Times New Roman" w:hAnsi="Times New Roman" w:cs="Times New Roman"/>
                <w:b/>
                <w:bCs/>
                <w:color w:val="000000"/>
                <w:sz w:val="20"/>
                <w:szCs w:val="20"/>
                <w:lang w:eastAsia="id-ID"/>
              </w:rPr>
              <w:t>Kategori Data Wawancara</w:t>
            </w:r>
          </w:p>
        </w:tc>
      </w:tr>
      <w:tr w:rsidR="00437ED9" w:rsidRPr="00437ED9" w:rsidTr="00437ED9">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FVIe1</w:t>
            </w:r>
          </w:p>
        </w:tc>
        <w:tc>
          <w:tcPr>
            <w:tcW w:w="1098"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453"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135"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Kehutanan</w:t>
            </w:r>
          </w:p>
        </w:tc>
        <w:tc>
          <w:tcPr>
            <w:tcW w:w="1269"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Tidak ada kawasan demonstrasi REDD</w:t>
            </w:r>
          </w:p>
        </w:tc>
        <w:tc>
          <w:tcPr>
            <w:tcW w:w="1140" w:type="dxa"/>
            <w:tcBorders>
              <w:top w:val="nil"/>
              <w:left w:val="nil"/>
              <w:bottom w:val="single" w:sz="4" w:space="0" w:color="auto"/>
              <w:right w:val="single" w:sz="4" w:space="0" w:color="auto"/>
            </w:tcBorders>
            <w:shd w:val="clear" w:color="auto" w:fill="auto"/>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1</w:t>
            </w:r>
          </w:p>
        </w:tc>
        <w:tc>
          <w:tcPr>
            <w:tcW w:w="2694" w:type="dxa"/>
            <w:tcBorders>
              <w:top w:val="nil"/>
              <w:left w:val="nil"/>
              <w:bottom w:val="single" w:sz="4" w:space="0" w:color="auto"/>
              <w:right w:val="single" w:sz="4" w:space="0" w:color="auto"/>
            </w:tcBorders>
            <w:shd w:val="clear" w:color="000000" w:fill="000000"/>
            <w:vAlign w:val="center"/>
            <w:hideMark/>
          </w:tcPr>
          <w:p w:rsidR="00437ED9" w:rsidRPr="00437ED9" w:rsidRDefault="00437ED9" w:rsidP="00437ED9">
            <w:pPr>
              <w:spacing w:after="0" w:line="240" w:lineRule="auto"/>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37ED9" w:rsidRPr="00437ED9" w:rsidRDefault="00437ED9" w:rsidP="00437ED9">
            <w:pPr>
              <w:spacing w:after="0" w:line="240" w:lineRule="auto"/>
              <w:jc w:val="center"/>
              <w:rPr>
                <w:rFonts w:ascii="Times New Roman" w:eastAsia="Times New Roman" w:hAnsi="Times New Roman" w:cs="Times New Roman"/>
                <w:color w:val="000000"/>
                <w:sz w:val="20"/>
                <w:szCs w:val="20"/>
                <w:lang w:eastAsia="id-ID"/>
              </w:rPr>
            </w:pPr>
            <w:r w:rsidRPr="00437ED9">
              <w:rPr>
                <w:rFonts w:ascii="Times New Roman" w:eastAsia="Times New Roman" w:hAnsi="Times New Roman" w:cs="Times New Roman"/>
                <w:color w:val="000000"/>
                <w:sz w:val="20"/>
                <w:szCs w:val="20"/>
                <w:lang w:eastAsia="id-ID"/>
              </w:rPr>
              <w:t> </w:t>
            </w:r>
          </w:p>
        </w:tc>
      </w:tr>
    </w:tbl>
    <w:p w:rsidR="00437ED9" w:rsidRDefault="00437ED9"/>
    <w:sectPr w:rsidR="00437ED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37ED9"/>
    <w:rsid w:val="004570C7"/>
    <w:rsid w:val="005D2D3D"/>
    <w:rsid w:val="006E5970"/>
    <w:rsid w:val="009939C4"/>
    <w:rsid w:val="009F3E98"/>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289090398">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28887879">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23</Pages>
  <Words>8189</Words>
  <Characters>46681</Characters>
  <Application>Microsoft Office Word</Application>
  <DocSecurity>0</DocSecurity>
  <Lines>389</Lines>
  <Paragraphs>109</Paragraphs>
  <ScaleCrop>false</ScaleCrop>
  <Company/>
  <LinksUpToDate>false</LinksUpToDate>
  <CharactersWithSpaces>54761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2012-10-16T03:45:00Z</dcterms:modified>
</cp:coreProperties>
</file>